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929"/>
              <w:gridCol w:w="1692"/>
              <w:gridCol w:w="527"/>
              <w:gridCol w:w="1663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支付中心经费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146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146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100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目标1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  <w:t>保证财政内网及各业务软件的正常使用及日常维护工作，及时支付预算执行系统建设资金；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  <w:t>目标2：保证全县财政非税票据的印刷及领用工作</w:t>
                  </w: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eastAsia="zh-CN"/>
                    </w:rPr>
                    <w:t>；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  <w:t>3：保证财政专线的正常使用及维护工作；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4：机关院墙维护修缮。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目标1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  <w:t>保证财政内网及各业务软件的正常使用及日常维护工作，及时支付预算执行系统建设资金；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  <w:t>目标2：保证全县财政非税票据的印刷及领用工作</w:t>
                  </w: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eastAsia="zh-CN"/>
                    </w:rPr>
                    <w:t>；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/>
                      <w:kern w:val="0"/>
                      <w:sz w:val="21"/>
                      <w:szCs w:val="21"/>
                      <w:lang w:val="en-US" w:eastAsia="zh-CN"/>
                    </w:rPr>
                    <w:t>3：保证财政专线的正常使用及维护工作；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4：机关院墙维护修缮。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rPr>
                <w:trHeight w:val="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财政内网及各业务软件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个</w:t>
                  </w:r>
                </w:p>
              </w:tc>
              <w:tc>
                <w:tcPr>
                  <w:tcW w:w="92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财政内网及各业务软件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个</w:t>
                  </w:r>
                </w:p>
              </w:tc>
            </w:tr>
            <w:tr>
              <w:trPr>
                <w:trHeight w:val="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全县各预算单位所需领非税票据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50万本</w:t>
                  </w:r>
                </w:p>
              </w:tc>
              <w:tc>
                <w:tcPr>
                  <w:tcW w:w="92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全县各预算单位所需领非税票据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  <w:t>50万本</w:t>
                  </w:r>
                </w:p>
              </w:tc>
            </w:tr>
            <w:tr>
              <w:trPr>
                <w:trHeight w:val="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3：机关院墙维护修缮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100%-80%</w:t>
                  </w:r>
                </w:p>
              </w:tc>
              <w:tc>
                <w:tcPr>
                  <w:tcW w:w="929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3：机关院墙维护修缮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100%-80%</w:t>
                  </w:r>
                </w:p>
              </w:tc>
            </w:tr>
            <w:tr>
              <w:trPr>
                <w:trHeight w:val="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4：财政专线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10条线</w:t>
                  </w:r>
                </w:p>
              </w:tc>
              <w:tc>
                <w:tcPr>
                  <w:tcW w:w="929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4：财政专线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10条线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内网机软件维护的合格率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  <w:tc>
                <w:tcPr>
                  <w:tcW w:w="92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内网机软件维护的合格率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票据的印刷合格率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  <w:tc>
                <w:tcPr>
                  <w:tcW w:w="9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票据的印刷合格率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3：财政专线租赁维护合格率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  <w:tc>
                <w:tcPr>
                  <w:tcW w:w="9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3：财政专线租赁维护合格率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</w:tr>
            <w:tr>
              <w:trPr>
                <w:trHeight w:val="48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4：工程质量合格率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9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4：工程质量合格率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及时支付维护费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92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及时支付维护费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及时支付票据印刷费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9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及时支付票据印刷费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3：及时支付财政专线租赁费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9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3：及时支付财政专线租赁费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4：工程完结及时支付工程款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9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4：工程完结及时支付工程款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根据合同全额支付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val="en-US" w:eastAsia="zh-CN"/>
                    </w:rPr>
                    <w:t>145.91万元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根据合同全额支付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 w:val="18"/>
                      <w:szCs w:val="18"/>
                      <w:lang w:val="en-US" w:eastAsia="zh-CN"/>
                    </w:rPr>
                    <w:t>145.91万元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保障经费合理支出，提高资金使用效益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提高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保障经费合理支出，提高资金使用效益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保障本单位及全县各预算单位财政内网及专线正常使用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保障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Times New Roman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保障本单位及全县各预算单位财政内网及专线正常使用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保障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全县各预算单位</w:t>
                  </w:r>
                </w:p>
                <w:p>
                  <w:pPr>
                    <w:pStyle w:val="2"/>
                    <w:ind w:firstLine="210" w:firstLineChars="100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≥95%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全县各预算单位</w:t>
                  </w:r>
                </w:p>
                <w:p>
                  <w:pPr>
                    <w:pStyle w:val="2"/>
                    <w:ind w:firstLine="210" w:firstLineChars="100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≥95%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AC30A74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5547D3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8EA13CB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5710C65"/>
    <w:rsid w:val="5601198C"/>
    <w:rsid w:val="56104055"/>
    <w:rsid w:val="572C68E4"/>
    <w:rsid w:val="573F2309"/>
    <w:rsid w:val="5CE85B58"/>
    <w:rsid w:val="5D731A92"/>
    <w:rsid w:val="603E5DB0"/>
    <w:rsid w:val="622734A6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8AC4E0A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6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DAISY1404364719</cp:lastModifiedBy>
  <dcterms:modified xsi:type="dcterms:W3CDTF">2022-03-11T03:09:10Z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